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776" w:rsidRPr="00144BD4" w:rsidRDefault="00444776" w:rsidP="00444776">
      <w:pPr>
        <w:pStyle w:val="1"/>
      </w:pPr>
      <w:bookmarkStart w:id="0" w:name="_Toc531861733"/>
      <w:r w:rsidRPr="00144BD4">
        <w:rPr>
          <w:rFonts w:hint="eastAsia"/>
        </w:rPr>
        <w:t>学院（部）考核关键指标</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49"/>
        <w:gridCol w:w="9866"/>
        <w:gridCol w:w="2159"/>
      </w:tblGrid>
      <w:tr w:rsidR="00444776" w:rsidRPr="00144BD4" w:rsidTr="00B2553D">
        <w:trPr>
          <w:jc w:val="center"/>
        </w:trPr>
        <w:tc>
          <w:tcPr>
            <w:tcW w:w="2149" w:type="dxa"/>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考核项目</w:t>
            </w:r>
          </w:p>
        </w:tc>
        <w:tc>
          <w:tcPr>
            <w:tcW w:w="9866" w:type="dxa"/>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宋体" w:hAnsi="宋体" w:cs="宋体" w:hint="eastAsia"/>
                <w:b/>
                <w:bCs/>
                <w:szCs w:val="28"/>
              </w:rPr>
              <w:t>关键指标</w:t>
            </w:r>
          </w:p>
        </w:tc>
        <w:tc>
          <w:tcPr>
            <w:tcW w:w="2159" w:type="dxa"/>
          </w:tcPr>
          <w:p w:rsidR="00444776" w:rsidRPr="00144BD4" w:rsidRDefault="00444776" w:rsidP="00B2553D">
            <w:pPr>
              <w:widowControl/>
              <w:spacing w:line="440" w:lineRule="exact"/>
              <w:jc w:val="center"/>
              <w:rPr>
                <w:rFonts w:ascii="宋体" w:cs="宋体"/>
                <w:b/>
                <w:bCs/>
                <w:szCs w:val="28"/>
              </w:rPr>
            </w:pPr>
            <w:r w:rsidRPr="00144BD4">
              <w:rPr>
                <w:rFonts w:ascii="宋体" w:hAnsi="宋体" w:cs="宋体" w:hint="eastAsia"/>
                <w:b/>
                <w:bCs/>
                <w:szCs w:val="28"/>
              </w:rPr>
              <w:t>测评单位</w:t>
            </w:r>
          </w:p>
        </w:tc>
      </w:tr>
      <w:tr w:rsidR="00444776" w:rsidRPr="00144BD4" w:rsidTr="00B2553D">
        <w:trPr>
          <w:trHeight w:val="989"/>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一、党建与思想政治等相关工作</w:t>
            </w:r>
          </w:p>
        </w:tc>
        <w:tc>
          <w:tcPr>
            <w:tcW w:w="9866" w:type="dxa"/>
          </w:tcPr>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1.落实党风廉政建设主体责任和领导干部“一岗双责”，有效防止违规违纪行为发生</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2.加强领导班子建设与干部队伍建设，落实学院议事规则，严格执行“三重一大”决策程序</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3.有效落实《中国共产党普通高等学校基层组织工作条例》，规范党内政治生活，落实党建工作重点任务，落实基层党组织标准化建设，推进“两学一做”学习教育常态化、制度化。党建工作重点任务督查及政治巡视反馈意见整改落实情况</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4.习近平新时代中国特色社会主义思想和党的十九大精神学习贯彻落实情况，全国教育大会精神学习宣传情况，以及“三全育人”落实情况；贯彻落实意识形态工作责任制，做好本单位主要成就和先进人物及事迹的内外宣传，重视并加强网络宣传，壮大主流舆论，讲好工大故事</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5.做好对离退休人员的走访慰问、困难帮扶和关心下一代等方面工作</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6.重视统一战线工作，建立并认真落实领导班子成员联系本单位党外代表人士</w:t>
            </w:r>
            <w:r w:rsidRPr="00144BD4">
              <w:rPr>
                <w:rFonts w:ascii="仿宋" w:eastAsia="仿宋" w:hAnsi="仿宋" w:cs="仿宋" w:hint="eastAsia"/>
                <w:kern w:val="0"/>
                <w:szCs w:val="28"/>
              </w:rPr>
              <w:lastRenderedPageBreak/>
              <w:t>和民主党派成员制度以及参与本单位重大问题协商制度</w:t>
            </w:r>
          </w:p>
          <w:p w:rsidR="00444776" w:rsidRPr="00144BD4" w:rsidRDefault="00444776" w:rsidP="00B2553D">
            <w:pPr>
              <w:widowControl/>
              <w:spacing w:line="440" w:lineRule="exact"/>
              <w:jc w:val="left"/>
              <w:rPr>
                <w:rFonts w:ascii="仿宋" w:eastAsia="仿宋" w:hAnsi="仿宋" w:cs="Times New Roman"/>
                <w:kern w:val="0"/>
                <w:sz w:val="30"/>
                <w:szCs w:val="30"/>
              </w:rPr>
            </w:pPr>
            <w:r w:rsidRPr="00144BD4">
              <w:rPr>
                <w:rFonts w:ascii="仿宋" w:eastAsia="仿宋" w:hAnsi="仿宋" w:cs="仿宋" w:hint="eastAsia"/>
                <w:kern w:val="0"/>
                <w:szCs w:val="28"/>
              </w:rPr>
              <w:t>7.充分发挥工会、二级教代会作用，全面履行参与、维护、建设、教育职能，牢牢把握保持和增强政治性、先进性、群众性，竭诚服务广大职工群众</w:t>
            </w:r>
          </w:p>
        </w:tc>
        <w:tc>
          <w:tcPr>
            <w:tcW w:w="2159" w:type="dxa"/>
            <w:vAlign w:val="center"/>
          </w:tcPr>
          <w:p w:rsidR="00444776" w:rsidRPr="00144BD4" w:rsidRDefault="00444776" w:rsidP="00B2553D">
            <w:pPr>
              <w:widowControl/>
              <w:spacing w:line="440" w:lineRule="exact"/>
              <w:jc w:val="center"/>
              <w:rPr>
                <w:rFonts w:ascii="仿宋" w:eastAsia="仿宋" w:hAnsi="仿宋" w:cs="仿宋"/>
                <w:kern w:val="0"/>
                <w:szCs w:val="28"/>
              </w:rPr>
            </w:pPr>
            <w:r w:rsidRPr="00144BD4">
              <w:rPr>
                <w:rFonts w:ascii="仿宋" w:eastAsia="仿宋" w:hAnsi="仿宋" w:cs="仿宋" w:hint="eastAsia"/>
                <w:kern w:val="0"/>
                <w:szCs w:val="28"/>
              </w:rPr>
              <w:lastRenderedPageBreak/>
              <w:t>牵头单位：组织部</w:t>
            </w:r>
          </w:p>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参与单位：纪委办、宣传部、离退休部、工会、统战部</w:t>
            </w:r>
          </w:p>
        </w:tc>
      </w:tr>
      <w:tr w:rsidR="00444776" w:rsidRPr="00144BD4" w:rsidTr="00B2553D">
        <w:trPr>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lastRenderedPageBreak/>
              <w:t>二、教学工作</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1.招生宣传的组织与效果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2.教学计划制定的规范性</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3.教学过程与</w:t>
            </w:r>
            <w:r w:rsidRPr="00144BD4">
              <w:rPr>
                <w:rFonts w:ascii="仿宋" w:eastAsia="仿宋" w:hAnsi="仿宋" w:cs="仿宋"/>
                <w:kern w:val="0"/>
                <w:szCs w:val="28"/>
              </w:rPr>
              <w:t>2015</w:t>
            </w:r>
            <w:proofErr w:type="gramStart"/>
            <w:r w:rsidRPr="00144BD4">
              <w:rPr>
                <w:rFonts w:ascii="仿宋" w:eastAsia="仿宋" w:hAnsi="仿宋" w:cs="仿宋" w:hint="eastAsia"/>
                <w:kern w:val="0"/>
                <w:szCs w:val="28"/>
              </w:rPr>
              <w:t>版教学</w:t>
            </w:r>
            <w:proofErr w:type="gramEnd"/>
            <w:r w:rsidRPr="00144BD4">
              <w:rPr>
                <w:rFonts w:ascii="仿宋" w:eastAsia="仿宋" w:hAnsi="仿宋" w:cs="仿宋" w:hint="eastAsia"/>
                <w:kern w:val="0"/>
                <w:szCs w:val="28"/>
              </w:rPr>
              <w:t>计划符合度</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4.按时落实教学执行计划（含宣城校区）</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5.按时准确提交成绩</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6.创新创业类课程开设情况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7.省部级以上学科竞赛中每百名学生获奖率</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8.组织教师培训活动（包括人数及成效）</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9.及时上报教学有关数据信息</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10.负面清单：实验室安全事故；教学事故</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教务处、</w:t>
            </w:r>
          </w:p>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本科教学指导委员会</w:t>
            </w:r>
          </w:p>
        </w:tc>
      </w:tr>
      <w:tr w:rsidR="00444776" w:rsidRPr="00144BD4" w:rsidTr="00B2553D">
        <w:trPr>
          <w:trHeight w:val="1815"/>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三、科研工作</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1.动员组织申报及获</w:t>
            </w:r>
            <w:proofErr w:type="gramStart"/>
            <w:r w:rsidRPr="00144BD4">
              <w:rPr>
                <w:rFonts w:ascii="仿宋" w:eastAsia="仿宋" w:hAnsi="仿宋" w:cs="仿宋" w:hint="eastAsia"/>
                <w:kern w:val="0"/>
                <w:szCs w:val="28"/>
              </w:rPr>
              <w:t>批国家</w:t>
            </w:r>
            <w:proofErr w:type="gramEnd"/>
            <w:r w:rsidRPr="00144BD4">
              <w:rPr>
                <w:rFonts w:ascii="仿宋" w:eastAsia="仿宋" w:hAnsi="仿宋" w:cs="仿宋" w:hint="eastAsia"/>
                <w:kern w:val="0"/>
                <w:szCs w:val="28"/>
              </w:rPr>
              <w:t>自然（社科）基金等国家级项目情况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2.组织策划及获批省部级以上平台情况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3.获省部级及以上成果奖励数</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4.人均科研经费增长率</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5.青年教师人均发表高水平论文数</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lastRenderedPageBreak/>
              <w:t>6.人均授权发明专利数、人均专利转化项数</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lastRenderedPageBreak/>
              <w:t>科研院、</w:t>
            </w:r>
          </w:p>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学术委员会</w:t>
            </w:r>
          </w:p>
        </w:tc>
      </w:tr>
      <w:tr w:rsidR="00444776" w:rsidRPr="00144BD4" w:rsidTr="00B2553D">
        <w:trPr>
          <w:trHeight w:val="546"/>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lastRenderedPageBreak/>
              <w:t>四、学科建设与研究生工作</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1.</w:t>
            </w:r>
            <w:r w:rsidRPr="00144BD4">
              <w:rPr>
                <w:rFonts w:ascii="仿宋" w:eastAsia="仿宋" w:hAnsi="仿宋" w:cs="仿宋" w:hint="eastAsia"/>
                <w:kern w:val="0"/>
                <w:szCs w:val="28"/>
              </w:rPr>
              <w:t>全日制研究生招生质量（</w:t>
            </w:r>
            <w:r w:rsidRPr="00144BD4">
              <w:rPr>
                <w:rFonts w:ascii="仿宋" w:eastAsia="仿宋" w:hAnsi="仿宋" w:cs="仿宋"/>
                <w:kern w:val="0"/>
                <w:szCs w:val="28"/>
              </w:rPr>
              <w:t>211</w:t>
            </w:r>
            <w:r w:rsidRPr="00144BD4">
              <w:rPr>
                <w:rFonts w:ascii="仿宋" w:eastAsia="仿宋" w:hAnsi="仿宋" w:cs="仿宋" w:hint="eastAsia"/>
                <w:kern w:val="0"/>
                <w:szCs w:val="28"/>
              </w:rPr>
              <w:t>以上学校硕士生生源录取比例及提高率、硕博连读生及提前攻博学生的比例及提高率）</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2.</w:t>
            </w:r>
            <w:r w:rsidRPr="00144BD4">
              <w:rPr>
                <w:rFonts w:ascii="仿宋" w:eastAsia="仿宋" w:hAnsi="仿宋" w:cs="仿宋" w:hint="eastAsia"/>
                <w:kern w:val="0"/>
                <w:szCs w:val="28"/>
              </w:rPr>
              <w:t>非全日制研究生招生数量</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3.</w:t>
            </w:r>
            <w:r w:rsidRPr="00144BD4">
              <w:rPr>
                <w:rFonts w:ascii="仿宋" w:eastAsia="仿宋" w:hAnsi="仿宋" w:cs="仿宋" w:hint="eastAsia"/>
                <w:kern w:val="0"/>
                <w:szCs w:val="28"/>
              </w:rPr>
              <w:t>研究生培养过程质量</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4.</w:t>
            </w:r>
            <w:r w:rsidRPr="00144BD4">
              <w:rPr>
                <w:rFonts w:ascii="仿宋" w:eastAsia="仿宋" w:hAnsi="仿宋" w:cs="仿宋" w:hint="eastAsia"/>
                <w:kern w:val="0"/>
                <w:szCs w:val="28"/>
              </w:rPr>
              <w:t>研究生毕业论文评审中优良率（</w:t>
            </w:r>
            <w:r w:rsidRPr="00144BD4">
              <w:rPr>
                <w:rFonts w:ascii="仿宋" w:eastAsia="仿宋" w:hAnsi="仿宋" w:cs="仿宋"/>
                <w:kern w:val="0"/>
                <w:szCs w:val="28"/>
              </w:rPr>
              <w:t>75</w:t>
            </w:r>
            <w:r w:rsidRPr="00144BD4">
              <w:rPr>
                <w:rFonts w:ascii="仿宋" w:eastAsia="仿宋" w:hAnsi="仿宋" w:cs="仿宋" w:hint="eastAsia"/>
                <w:kern w:val="0"/>
                <w:szCs w:val="28"/>
              </w:rPr>
              <w:t>以上）</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5.</w:t>
            </w:r>
            <w:r w:rsidRPr="00144BD4">
              <w:rPr>
                <w:rFonts w:ascii="仿宋" w:eastAsia="仿宋" w:hAnsi="仿宋" w:cs="仿宋" w:hint="eastAsia"/>
                <w:kern w:val="0"/>
                <w:szCs w:val="28"/>
              </w:rPr>
              <w:t>学科建设组织与成效</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6.</w:t>
            </w:r>
            <w:r w:rsidRPr="00144BD4">
              <w:rPr>
                <w:rFonts w:ascii="仿宋" w:eastAsia="仿宋" w:hAnsi="仿宋" w:cs="仿宋" w:hint="eastAsia"/>
                <w:kern w:val="0"/>
                <w:szCs w:val="28"/>
              </w:rPr>
              <w:t>研究生导师相关工作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7.</w:t>
            </w:r>
            <w:r w:rsidRPr="00144BD4">
              <w:rPr>
                <w:rFonts w:ascii="仿宋" w:eastAsia="仿宋" w:hAnsi="仿宋" w:cs="仿宋" w:hint="eastAsia"/>
                <w:kern w:val="0"/>
                <w:szCs w:val="28"/>
              </w:rPr>
              <w:t>负面清单：在研究生招生、培养、学位管理、学科建设中出现重大失误</w:t>
            </w:r>
          </w:p>
        </w:tc>
        <w:tc>
          <w:tcPr>
            <w:tcW w:w="2159" w:type="dxa"/>
            <w:vAlign w:val="center"/>
          </w:tcPr>
          <w:p w:rsidR="00444776" w:rsidRPr="00144BD4" w:rsidRDefault="00444776" w:rsidP="00B2553D">
            <w:pPr>
              <w:pStyle w:val="a5"/>
              <w:widowControl/>
              <w:spacing w:line="440" w:lineRule="exact"/>
              <w:ind w:firstLineChars="0" w:firstLine="0"/>
              <w:jc w:val="center"/>
              <w:rPr>
                <w:rFonts w:ascii="仿宋" w:eastAsia="仿宋" w:hAnsi="仿宋" w:cs="Times New Roman"/>
                <w:kern w:val="0"/>
                <w:szCs w:val="28"/>
              </w:rPr>
            </w:pPr>
            <w:r w:rsidRPr="00144BD4">
              <w:rPr>
                <w:rFonts w:ascii="仿宋" w:eastAsia="仿宋" w:hAnsi="仿宋" w:cs="仿宋" w:hint="eastAsia"/>
                <w:kern w:val="0"/>
                <w:szCs w:val="28"/>
              </w:rPr>
              <w:t>研究生院、</w:t>
            </w:r>
          </w:p>
          <w:p w:rsidR="00444776" w:rsidRPr="00144BD4" w:rsidRDefault="00444776" w:rsidP="00B2553D">
            <w:pPr>
              <w:pStyle w:val="a5"/>
              <w:widowControl/>
              <w:spacing w:line="440" w:lineRule="exact"/>
              <w:ind w:firstLineChars="0" w:firstLine="0"/>
              <w:jc w:val="center"/>
              <w:rPr>
                <w:rFonts w:ascii="仿宋" w:eastAsia="仿宋" w:hAnsi="仿宋" w:cs="Times New Roman"/>
                <w:kern w:val="0"/>
                <w:szCs w:val="28"/>
              </w:rPr>
            </w:pPr>
            <w:r w:rsidRPr="00144BD4">
              <w:rPr>
                <w:rFonts w:ascii="仿宋" w:eastAsia="仿宋" w:hAnsi="仿宋" w:cs="仿宋" w:hint="eastAsia"/>
                <w:kern w:val="0"/>
                <w:szCs w:val="28"/>
              </w:rPr>
              <w:t>学术委员会</w:t>
            </w:r>
          </w:p>
        </w:tc>
      </w:tr>
      <w:tr w:rsidR="00444776" w:rsidRPr="00144BD4" w:rsidTr="00B2553D">
        <w:trPr>
          <w:trHeight w:val="1260"/>
          <w:jc w:val="center"/>
        </w:trPr>
        <w:tc>
          <w:tcPr>
            <w:tcW w:w="2149" w:type="dxa"/>
            <w:vAlign w:val="center"/>
          </w:tcPr>
          <w:p w:rsidR="00444776" w:rsidRPr="00144BD4" w:rsidRDefault="00444776" w:rsidP="00B2553D">
            <w:pPr>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五、人才与师资工作</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1.</w:t>
            </w:r>
            <w:r w:rsidRPr="00144BD4">
              <w:rPr>
                <w:rFonts w:ascii="仿宋" w:eastAsia="仿宋" w:hAnsi="仿宋" w:cs="仿宋" w:hint="eastAsia"/>
                <w:kern w:val="0"/>
                <w:szCs w:val="28"/>
              </w:rPr>
              <w:t>高层次人才队伍建设情况（万人、千人、长江、杰青、优青、青千、青年长江、百人等国家级人才）引进与培养的措施、效果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2.</w:t>
            </w:r>
            <w:r w:rsidRPr="00144BD4">
              <w:rPr>
                <w:rFonts w:ascii="仿宋" w:eastAsia="仿宋" w:hAnsi="仿宋" w:cs="仿宋" w:hint="eastAsia"/>
                <w:kern w:val="0"/>
                <w:szCs w:val="28"/>
              </w:rPr>
              <w:t>新增黄山学者、黄山青年学者情况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3.</w:t>
            </w:r>
            <w:r w:rsidRPr="00144BD4">
              <w:rPr>
                <w:rFonts w:ascii="仿宋" w:eastAsia="仿宋" w:hAnsi="仿宋" w:cs="仿宋" w:hint="eastAsia"/>
                <w:kern w:val="0"/>
                <w:szCs w:val="28"/>
              </w:rPr>
              <w:t>各类人才项目申报及获取情况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4.</w:t>
            </w:r>
            <w:r w:rsidRPr="00144BD4">
              <w:rPr>
                <w:rFonts w:ascii="仿宋" w:eastAsia="仿宋" w:hAnsi="仿宋" w:cs="仿宋" w:hint="eastAsia"/>
                <w:kern w:val="0"/>
                <w:szCs w:val="28"/>
              </w:rPr>
              <w:t>师资队伍（特别是青年教师队伍）建设措施与效果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5.</w:t>
            </w:r>
            <w:r w:rsidRPr="00144BD4">
              <w:rPr>
                <w:rFonts w:ascii="仿宋" w:eastAsia="仿宋" w:hAnsi="仿宋" w:cs="仿宋" w:hint="eastAsia"/>
                <w:kern w:val="0"/>
                <w:szCs w:val="28"/>
              </w:rPr>
              <w:t>教师补充计划完成情况</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人事处</w:t>
            </w:r>
          </w:p>
        </w:tc>
      </w:tr>
      <w:tr w:rsidR="00444776" w:rsidRPr="00144BD4" w:rsidTr="00B2553D">
        <w:trPr>
          <w:trHeight w:val="870"/>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lastRenderedPageBreak/>
              <w:t>六、学生工作与共青团工作</w:t>
            </w:r>
          </w:p>
        </w:tc>
        <w:tc>
          <w:tcPr>
            <w:tcW w:w="9866" w:type="dxa"/>
          </w:tcPr>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1.思想政治教育计划实施和学生思想状况</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2.日常管理和学生行为规范</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3.学风建设措施和效果</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4.心理健康教育和危机干预</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5.资助育人和学生贷款还款状况</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6.毕业生就业调查和就业状况</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7.辅导员和班主任队伍建设</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8.全面加强共青团的领导和支持，稳步推进改革</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9.重视团的基层组织建设，组织机构健全，人员配备齐全</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10.注重共青团立德树人和思想政治工作，特色明显</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11.积极落实和应用第二课堂成绩单制度，“挑战杯”“创青春”“三下乡”等有序有效</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12.全面从</w:t>
            </w:r>
            <w:proofErr w:type="gramStart"/>
            <w:r w:rsidRPr="00144BD4">
              <w:rPr>
                <w:rFonts w:ascii="仿宋" w:eastAsia="仿宋" w:hAnsi="仿宋" w:cs="仿宋" w:hint="eastAsia"/>
                <w:kern w:val="0"/>
                <w:szCs w:val="28"/>
              </w:rPr>
              <w:t>严管团治</w:t>
            </w:r>
            <w:proofErr w:type="gramEnd"/>
            <w:r w:rsidRPr="00144BD4">
              <w:rPr>
                <w:rFonts w:ascii="仿宋" w:eastAsia="仿宋" w:hAnsi="仿宋" w:cs="仿宋" w:hint="eastAsia"/>
                <w:kern w:val="0"/>
                <w:szCs w:val="28"/>
              </w:rPr>
              <w:t>团，统筹协调推动，</w:t>
            </w:r>
            <w:proofErr w:type="gramStart"/>
            <w:r w:rsidRPr="00144BD4">
              <w:rPr>
                <w:rFonts w:ascii="仿宋" w:eastAsia="仿宋" w:hAnsi="仿宋" w:cs="仿宋" w:hint="eastAsia"/>
                <w:kern w:val="0"/>
                <w:szCs w:val="28"/>
              </w:rPr>
              <w:t>团学体系</w:t>
            </w:r>
            <w:proofErr w:type="gramEnd"/>
            <w:r w:rsidRPr="00144BD4">
              <w:rPr>
                <w:rFonts w:ascii="仿宋" w:eastAsia="仿宋" w:hAnsi="仿宋" w:cs="仿宋" w:hint="eastAsia"/>
                <w:kern w:val="0"/>
                <w:szCs w:val="28"/>
              </w:rPr>
              <w:t>规范有序</w:t>
            </w:r>
          </w:p>
          <w:p w:rsidR="00444776" w:rsidRPr="00144BD4" w:rsidRDefault="00444776" w:rsidP="00B2553D">
            <w:pPr>
              <w:widowControl/>
              <w:spacing w:line="440" w:lineRule="exact"/>
              <w:jc w:val="left"/>
              <w:rPr>
                <w:rFonts w:ascii="仿宋" w:eastAsia="仿宋" w:hAnsi="仿宋" w:cs="仿宋"/>
                <w:kern w:val="0"/>
                <w:szCs w:val="28"/>
              </w:rPr>
            </w:pPr>
            <w:r w:rsidRPr="00144BD4">
              <w:rPr>
                <w:rFonts w:ascii="仿宋" w:eastAsia="仿宋" w:hAnsi="仿宋" w:cs="仿宋" w:hint="eastAsia"/>
                <w:kern w:val="0"/>
                <w:szCs w:val="28"/>
              </w:rPr>
              <w:t>13.工作进展和特色工作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14.负面清单：重大责任事故</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学工部、</w:t>
            </w:r>
          </w:p>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团委</w:t>
            </w:r>
          </w:p>
        </w:tc>
      </w:tr>
      <w:tr w:rsidR="00444776" w:rsidRPr="00144BD4" w:rsidTr="00B2553D">
        <w:trPr>
          <w:trHeight w:val="870"/>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七、国有资产管理与财务</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1.</w:t>
            </w:r>
            <w:r w:rsidRPr="00144BD4">
              <w:rPr>
                <w:rFonts w:ascii="仿宋" w:eastAsia="仿宋" w:hAnsi="仿宋" w:cs="仿宋" w:hint="eastAsia"/>
                <w:kern w:val="0"/>
                <w:szCs w:val="28"/>
              </w:rPr>
              <w:t>内控制度建设与实施</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2.</w:t>
            </w:r>
            <w:r w:rsidRPr="00144BD4">
              <w:rPr>
                <w:rFonts w:ascii="仿宋" w:eastAsia="仿宋" w:hAnsi="仿宋" w:cs="仿宋" w:hint="eastAsia"/>
                <w:kern w:val="0"/>
                <w:szCs w:val="28"/>
              </w:rPr>
              <w:t>财务预算实施情况与经费使用效益</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3.</w:t>
            </w:r>
            <w:r w:rsidRPr="00144BD4">
              <w:rPr>
                <w:rFonts w:ascii="仿宋" w:eastAsia="仿宋" w:hAnsi="仿宋" w:cs="仿宋" w:hint="eastAsia"/>
                <w:kern w:val="0"/>
                <w:szCs w:val="28"/>
              </w:rPr>
              <w:t>资产管理（资产管理基础工作、资产过程管理的规范性、资产使用率）</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财务处、</w:t>
            </w:r>
          </w:p>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审计处</w:t>
            </w:r>
          </w:p>
        </w:tc>
      </w:tr>
      <w:tr w:rsidR="00444776" w:rsidRPr="00144BD4" w:rsidTr="00B2553D">
        <w:trPr>
          <w:trHeight w:val="870"/>
          <w:jc w:val="center"/>
        </w:trPr>
        <w:tc>
          <w:tcPr>
            <w:tcW w:w="2149" w:type="dxa"/>
            <w:vAlign w:val="center"/>
          </w:tcPr>
          <w:p w:rsidR="00444776" w:rsidRPr="00144BD4" w:rsidRDefault="00444776" w:rsidP="00B2553D">
            <w:pPr>
              <w:widowControl/>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lastRenderedPageBreak/>
              <w:t>八、国际化</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1.国际学术交流与科研合作</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2.国际合作平台建设</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3.学生海外学习与交流</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4.中外合作办学项目或学生联合培养项目</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5.教学国际化情况</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6.在读留学生人数</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hint="eastAsia"/>
                <w:kern w:val="0"/>
                <w:szCs w:val="28"/>
              </w:rPr>
              <w:t>7.负面清单：</w:t>
            </w:r>
            <w:r w:rsidRPr="00144BD4">
              <w:rPr>
                <w:rFonts w:ascii="仿宋" w:eastAsia="仿宋" w:hAnsi="仿宋" w:cs="仿宋" w:hint="eastAsia"/>
                <w:szCs w:val="28"/>
              </w:rPr>
              <w:t>违反外事纪律</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国际事务处</w:t>
            </w:r>
          </w:p>
        </w:tc>
      </w:tr>
      <w:tr w:rsidR="00444776" w:rsidRPr="00144BD4" w:rsidTr="00B2553D">
        <w:trPr>
          <w:trHeight w:val="1397"/>
          <w:jc w:val="center"/>
        </w:trPr>
        <w:tc>
          <w:tcPr>
            <w:tcW w:w="2149" w:type="dxa"/>
            <w:vAlign w:val="center"/>
          </w:tcPr>
          <w:p w:rsidR="00444776" w:rsidRPr="00144BD4" w:rsidRDefault="00444776" w:rsidP="00B2553D">
            <w:pPr>
              <w:spacing w:line="440" w:lineRule="exact"/>
              <w:jc w:val="center"/>
              <w:rPr>
                <w:rFonts w:ascii="仿宋" w:eastAsia="仿宋" w:hAnsi="仿宋" w:cs="Times New Roman"/>
                <w:b/>
                <w:bCs/>
                <w:kern w:val="0"/>
                <w:szCs w:val="28"/>
              </w:rPr>
            </w:pPr>
            <w:r w:rsidRPr="00144BD4">
              <w:rPr>
                <w:rFonts w:ascii="仿宋" w:eastAsia="仿宋" w:hAnsi="仿宋" w:cs="仿宋" w:hint="eastAsia"/>
                <w:b/>
                <w:bCs/>
                <w:kern w:val="0"/>
                <w:szCs w:val="28"/>
              </w:rPr>
              <w:t>九、学院运行</w:t>
            </w:r>
          </w:p>
        </w:tc>
        <w:tc>
          <w:tcPr>
            <w:tcW w:w="9866" w:type="dxa"/>
          </w:tcPr>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1.</w:t>
            </w:r>
            <w:r w:rsidRPr="00144BD4">
              <w:rPr>
                <w:rFonts w:ascii="仿宋" w:eastAsia="仿宋" w:hAnsi="仿宋" w:cs="仿宋" w:hint="eastAsia"/>
                <w:kern w:val="0"/>
                <w:szCs w:val="28"/>
              </w:rPr>
              <w:t>综合管理（</w:t>
            </w:r>
            <w:r w:rsidRPr="00144BD4">
              <w:rPr>
                <w:rFonts w:ascii="仿宋_GB2312" w:eastAsia="仿宋_GB2312" w:hAnsi="宋体" w:hint="eastAsia"/>
                <w:szCs w:val="28"/>
              </w:rPr>
              <w:t>政令畅通、令行禁止、制度健全</w:t>
            </w:r>
            <w:r w:rsidRPr="00144BD4">
              <w:rPr>
                <w:rFonts w:ascii="仿宋" w:eastAsia="仿宋" w:hAnsi="仿宋" w:cs="仿宋" w:hint="eastAsia"/>
                <w:kern w:val="0"/>
                <w:szCs w:val="28"/>
              </w:rPr>
              <w:t>）</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2.</w:t>
            </w:r>
            <w:r w:rsidRPr="00144BD4">
              <w:rPr>
                <w:rFonts w:ascii="仿宋" w:eastAsia="仿宋" w:hAnsi="仿宋" w:cs="仿宋" w:hint="eastAsia"/>
                <w:kern w:val="0"/>
                <w:szCs w:val="28"/>
              </w:rPr>
              <w:t>安全稳定管理（</w:t>
            </w:r>
            <w:r w:rsidRPr="00144BD4">
              <w:rPr>
                <w:rFonts w:ascii="仿宋_GB2312" w:eastAsia="仿宋_GB2312" w:hAnsi="宋体" w:hint="eastAsia"/>
                <w:szCs w:val="28"/>
              </w:rPr>
              <w:t>贯彻稳定工作制，落实各项措施，防止各类突发事件与安全事故的发生，有关涉密工作的责任落实情况</w:t>
            </w:r>
            <w:r w:rsidRPr="00144BD4">
              <w:rPr>
                <w:rFonts w:ascii="仿宋" w:eastAsia="仿宋" w:hAnsi="仿宋" w:cs="仿宋" w:hint="eastAsia"/>
                <w:kern w:val="0"/>
                <w:szCs w:val="28"/>
              </w:rPr>
              <w:t>）</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3.</w:t>
            </w:r>
            <w:r w:rsidRPr="00144BD4">
              <w:rPr>
                <w:rFonts w:ascii="仿宋" w:eastAsia="仿宋" w:hAnsi="仿宋" w:cs="仿宋" w:hint="eastAsia"/>
                <w:kern w:val="0"/>
                <w:szCs w:val="28"/>
              </w:rPr>
              <w:t>日常管理（</w:t>
            </w:r>
            <w:r w:rsidRPr="00144BD4">
              <w:rPr>
                <w:rFonts w:ascii="仿宋_GB2312" w:eastAsia="仿宋_GB2312" w:hAnsi="宋体" w:hint="eastAsia"/>
                <w:szCs w:val="28"/>
              </w:rPr>
              <w:t>各类信息、文档的规范化流转与管理，严格按照公文运转规定和程序办事，按时完成学校交办的各类任务</w:t>
            </w:r>
            <w:r w:rsidRPr="00144BD4">
              <w:rPr>
                <w:rFonts w:ascii="仿宋" w:eastAsia="仿宋" w:hAnsi="仿宋" w:cs="仿宋" w:hint="eastAsia"/>
                <w:kern w:val="0"/>
                <w:szCs w:val="28"/>
              </w:rPr>
              <w:t>）</w:t>
            </w:r>
          </w:p>
          <w:p w:rsidR="00444776" w:rsidRPr="00144BD4" w:rsidRDefault="00444776" w:rsidP="00B2553D">
            <w:pPr>
              <w:widowControl/>
              <w:spacing w:line="440" w:lineRule="exact"/>
              <w:jc w:val="left"/>
              <w:rPr>
                <w:rFonts w:ascii="仿宋" w:eastAsia="仿宋" w:hAnsi="仿宋" w:cs="Times New Roman"/>
                <w:kern w:val="0"/>
                <w:szCs w:val="28"/>
              </w:rPr>
            </w:pPr>
            <w:r w:rsidRPr="00144BD4">
              <w:rPr>
                <w:rFonts w:ascii="仿宋" w:eastAsia="仿宋" w:hAnsi="仿宋" w:cs="仿宋"/>
                <w:kern w:val="0"/>
                <w:szCs w:val="28"/>
              </w:rPr>
              <w:t>4.</w:t>
            </w:r>
            <w:r w:rsidRPr="00144BD4">
              <w:rPr>
                <w:rFonts w:ascii="仿宋" w:eastAsia="仿宋" w:hAnsi="仿宋" w:cs="仿宋" w:hint="eastAsia"/>
                <w:kern w:val="0"/>
                <w:szCs w:val="28"/>
              </w:rPr>
              <w:t>负面清单：发生重大泄密事件</w:t>
            </w:r>
            <w:r w:rsidRPr="00144BD4">
              <w:rPr>
                <w:rFonts w:ascii="仿宋" w:eastAsia="仿宋" w:hAnsi="仿宋" w:cs="Times New Roman" w:hint="eastAsia"/>
                <w:kern w:val="0"/>
                <w:szCs w:val="28"/>
              </w:rPr>
              <w:t>；</w:t>
            </w:r>
            <w:r w:rsidRPr="00144BD4">
              <w:rPr>
                <w:rFonts w:ascii="仿宋" w:eastAsia="仿宋" w:hAnsi="仿宋" w:cs="仿宋" w:hint="eastAsia"/>
                <w:kern w:val="0"/>
                <w:szCs w:val="28"/>
              </w:rPr>
              <w:t>有违反学校综合治理规定</w:t>
            </w:r>
            <w:r w:rsidRPr="00144BD4">
              <w:rPr>
                <w:rFonts w:ascii="仿宋" w:eastAsia="仿宋" w:hAnsi="仿宋" w:cs="Times New Roman" w:hint="eastAsia"/>
                <w:kern w:val="0"/>
                <w:szCs w:val="28"/>
              </w:rPr>
              <w:t>；</w:t>
            </w:r>
            <w:r w:rsidRPr="00144BD4">
              <w:rPr>
                <w:rFonts w:ascii="仿宋" w:eastAsia="仿宋" w:hAnsi="仿宋" w:cs="仿宋" w:hint="eastAsia"/>
                <w:kern w:val="0"/>
                <w:szCs w:val="28"/>
              </w:rPr>
              <w:t>发生安全责任事故、火灾等影响学校安全稳定事件</w:t>
            </w:r>
            <w:r w:rsidRPr="00144BD4">
              <w:rPr>
                <w:rFonts w:ascii="仿宋" w:eastAsia="仿宋" w:hAnsi="仿宋" w:cs="Times New Roman" w:hint="eastAsia"/>
                <w:kern w:val="0"/>
                <w:szCs w:val="28"/>
              </w:rPr>
              <w:t>；</w:t>
            </w:r>
            <w:proofErr w:type="gramStart"/>
            <w:r w:rsidRPr="00144BD4">
              <w:rPr>
                <w:rFonts w:ascii="仿宋" w:eastAsia="仿宋" w:hAnsi="仿宋" w:cs="仿宋" w:hint="eastAsia"/>
                <w:kern w:val="0"/>
                <w:szCs w:val="28"/>
              </w:rPr>
              <w:t>紧急重要</w:t>
            </w:r>
            <w:proofErr w:type="gramEnd"/>
            <w:r w:rsidRPr="00144BD4">
              <w:rPr>
                <w:rFonts w:ascii="仿宋" w:eastAsia="仿宋" w:hAnsi="仿宋" w:cs="仿宋" w:hint="eastAsia"/>
                <w:kern w:val="0"/>
                <w:szCs w:val="28"/>
              </w:rPr>
              <w:t>信息迟报、漏报、瞒报等情况</w:t>
            </w:r>
          </w:p>
        </w:tc>
        <w:tc>
          <w:tcPr>
            <w:tcW w:w="2159" w:type="dxa"/>
            <w:vAlign w:val="center"/>
          </w:tcPr>
          <w:p w:rsidR="00444776" w:rsidRPr="00144BD4" w:rsidRDefault="00444776" w:rsidP="00B2553D">
            <w:pPr>
              <w:widowControl/>
              <w:spacing w:line="440" w:lineRule="exact"/>
              <w:jc w:val="center"/>
              <w:rPr>
                <w:rFonts w:ascii="仿宋" w:eastAsia="仿宋" w:hAnsi="仿宋" w:cs="Times New Roman"/>
                <w:kern w:val="0"/>
                <w:szCs w:val="28"/>
              </w:rPr>
            </w:pPr>
            <w:r w:rsidRPr="00144BD4">
              <w:rPr>
                <w:rFonts w:ascii="仿宋" w:eastAsia="仿宋" w:hAnsi="仿宋" w:cs="仿宋" w:hint="eastAsia"/>
                <w:kern w:val="0"/>
                <w:szCs w:val="28"/>
              </w:rPr>
              <w:t>校务部、</w:t>
            </w:r>
          </w:p>
          <w:p w:rsidR="00444776" w:rsidRPr="00144BD4" w:rsidRDefault="00444776" w:rsidP="00B2553D">
            <w:pPr>
              <w:widowControl/>
              <w:spacing w:line="440" w:lineRule="exact"/>
              <w:jc w:val="center"/>
              <w:rPr>
                <w:rFonts w:cs="Times New Roman"/>
                <w:szCs w:val="28"/>
                <w:lang w:val="zh-CN"/>
              </w:rPr>
            </w:pPr>
            <w:r w:rsidRPr="00144BD4">
              <w:rPr>
                <w:rFonts w:ascii="仿宋" w:eastAsia="仿宋" w:hAnsi="仿宋" w:cs="仿宋" w:hint="eastAsia"/>
                <w:kern w:val="0"/>
                <w:szCs w:val="28"/>
              </w:rPr>
              <w:t>总务处</w:t>
            </w:r>
          </w:p>
        </w:tc>
      </w:tr>
    </w:tbl>
    <w:p w:rsidR="003F3323" w:rsidRPr="00444776" w:rsidRDefault="003F3323" w:rsidP="00444776">
      <w:pPr>
        <w:widowControl/>
        <w:jc w:val="left"/>
        <w:rPr>
          <w:rFonts w:ascii="仿宋" w:eastAsia="仿宋" w:hAnsi="仿宋" w:cs="Times New Roman"/>
          <w:szCs w:val="28"/>
        </w:rPr>
      </w:pPr>
    </w:p>
    <w:sectPr w:rsidR="003F3323" w:rsidRPr="00444776" w:rsidSect="006C34FF">
      <w:pgSz w:w="16838" w:h="11906" w:orient="landscape"/>
      <w:pgMar w:top="1800" w:right="1440" w:bottom="1800" w:left="144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1C" w:rsidRDefault="00B2461C" w:rsidP="00444776">
      <w:r>
        <w:separator/>
      </w:r>
    </w:p>
  </w:endnote>
  <w:endnote w:type="continuationSeparator" w:id="0">
    <w:p w:rsidR="00B2461C" w:rsidRDefault="00B2461C" w:rsidP="004447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1C" w:rsidRDefault="00B2461C" w:rsidP="00444776">
      <w:r>
        <w:separator/>
      </w:r>
    </w:p>
  </w:footnote>
  <w:footnote w:type="continuationSeparator" w:id="0">
    <w:p w:rsidR="00B2461C" w:rsidRDefault="00B2461C" w:rsidP="004447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4776"/>
    <w:rsid w:val="003F3323"/>
    <w:rsid w:val="00444776"/>
    <w:rsid w:val="0057725A"/>
    <w:rsid w:val="006B1EA9"/>
    <w:rsid w:val="006C34FF"/>
    <w:rsid w:val="00B246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776"/>
    <w:pPr>
      <w:widowControl w:val="0"/>
      <w:jc w:val="both"/>
    </w:pPr>
    <w:rPr>
      <w:sz w:val="28"/>
    </w:rPr>
  </w:style>
  <w:style w:type="paragraph" w:styleId="1">
    <w:name w:val="heading 1"/>
    <w:basedOn w:val="a"/>
    <w:next w:val="a"/>
    <w:link w:val="1Char"/>
    <w:uiPriority w:val="9"/>
    <w:qFormat/>
    <w:rsid w:val="00444776"/>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47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44776"/>
    <w:rPr>
      <w:sz w:val="18"/>
      <w:szCs w:val="18"/>
    </w:rPr>
  </w:style>
  <w:style w:type="paragraph" w:styleId="a4">
    <w:name w:val="footer"/>
    <w:basedOn w:val="a"/>
    <w:link w:val="Char0"/>
    <w:uiPriority w:val="99"/>
    <w:semiHidden/>
    <w:unhideWhenUsed/>
    <w:rsid w:val="004447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44776"/>
    <w:rPr>
      <w:sz w:val="18"/>
      <w:szCs w:val="18"/>
    </w:rPr>
  </w:style>
  <w:style w:type="character" w:customStyle="1" w:styleId="1Char">
    <w:name w:val="标题 1 Char"/>
    <w:basedOn w:val="a0"/>
    <w:link w:val="1"/>
    <w:uiPriority w:val="9"/>
    <w:rsid w:val="00444776"/>
    <w:rPr>
      <w:rFonts w:eastAsiaTheme="majorEastAsia"/>
      <w:b/>
      <w:bCs/>
      <w:kern w:val="44"/>
      <w:sz w:val="30"/>
      <w:szCs w:val="44"/>
    </w:rPr>
  </w:style>
  <w:style w:type="paragraph" w:styleId="a5">
    <w:name w:val="List Paragraph"/>
    <w:basedOn w:val="a"/>
    <w:uiPriority w:val="99"/>
    <w:qFormat/>
    <w:rsid w:val="00444776"/>
    <w:pPr>
      <w:ind w:firstLineChars="200" w:firstLine="420"/>
    </w:pPr>
    <w:rPr>
      <w:rFonts w:ascii="Calibri" w:eastAsia="宋体" w:hAnsi="Calibri" w:cs="Calibri"/>
      <w:szCs w:val="21"/>
    </w:rPr>
  </w:style>
  <w:style w:type="paragraph" w:styleId="a6">
    <w:name w:val="Document Map"/>
    <w:basedOn w:val="a"/>
    <w:link w:val="Char1"/>
    <w:uiPriority w:val="99"/>
    <w:semiHidden/>
    <w:unhideWhenUsed/>
    <w:rsid w:val="00444776"/>
    <w:rPr>
      <w:rFonts w:ascii="宋体" w:eastAsia="宋体"/>
      <w:sz w:val="18"/>
      <w:szCs w:val="18"/>
    </w:rPr>
  </w:style>
  <w:style w:type="character" w:customStyle="1" w:styleId="Char1">
    <w:name w:val="文档结构图 Char"/>
    <w:basedOn w:val="a0"/>
    <w:link w:val="a6"/>
    <w:uiPriority w:val="99"/>
    <w:semiHidden/>
    <w:rsid w:val="00444776"/>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285</Words>
  <Characters>1630</Characters>
  <Application>Microsoft Office Word</Application>
  <DocSecurity>0</DocSecurity>
  <Lines>13</Lines>
  <Paragraphs>3</Paragraphs>
  <ScaleCrop>false</ScaleCrop>
  <Company>Microsoft</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2018-12-11T07:35:00Z</dcterms:created>
  <dcterms:modified xsi:type="dcterms:W3CDTF">2018-12-11T08:18:00Z</dcterms:modified>
</cp:coreProperties>
</file>